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1E" w:rsidRPr="0041661E" w:rsidRDefault="0041661E" w:rsidP="0041661E">
      <w:pPr>
        <w:pStyle w:val="Web"/>
        <w:spacing w:beforeLines="100" w:before="360" w:beforeAutospacing="0" w:afterLines="100" w:after="360" w:afterAutospacing="0" w:line="360" w:lineRule="auto"/>
        <w:ind w:left="496" w:hangingChars="177" w:hanging="496"/>
        <w:contextualSpacing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1661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新北市立淡水高級商工職業學校</w:t>
      </w:r>
      <w:r w:rsidRPr="0041661E">
        <w:rPr>
          <w:rFonts w:ascii="標楷體" w:eastAsia="標楷體" w:hAnsi="標楷體"/>
          <w:b/>
          <w:color w:val="000000" w:themeColor="text1"/>
          <w:sz w:val="28"/>
          <w:szCs w:val="28"/>
        </w:rPr>
        <w:t>校長及教師公開授課</w:t>
      </w:r>
      <w:r w:rsidRPr="0041661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實施規定</w:t>
      </w:r>
    </w:p>
    <w:p w:rsidR="0041661E" w:rsidRPr="0041661E" w:rsidRDefault="0041661E" w:rsidP="0041661E">
      <w:pPr>
        <w:pStyle w:val="Web"/>
        <w:spacing w:before="0" w:beforeAutospacing="0" w:after="0" w:afterAutospacing="0"/>
        <w:ind w:left="354" w:hangingChars="177" w:hanging="354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106年9月13日召集人會議通過</w:t>
      </w:r>
    </w:p>
    <w:p w:rsidR="0041661E" w:rsidRPr="0041661E" w:rsidRDefault="0041661E" w:rsidP="0041661E">
      <w:pPr>
        <w:pStyle w:val="Web"/>
        <w:spacing w:before="0" w:beforeAutospacing="0" w:after="0" w:afterAutospacing="0"/>
        <w:ind w:left="354" w:hangingChars="177" w:hanging="354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107年1月17日行政會報討論通過</w:t>
      </w:r>
    </w:p>
    <w:p w:rsidR="0041661E" w:rsidRPr="0041661E" w:rsidRDefault="0041661E" w:rsidP="0041661E">
      <w:pPr>
        <w:pStyle w:val="Web"/>
        <w:spacing w:before="0" w:beforeAutospacing="0" w:after="0" w:afterAutospacing="0"/>
        <w:ind w:left="354" w:hangingChars="177" w:hanging="354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41661E">
        <w:rPr>
          <w:rFonts w:ascii="標楷體" w:eastAsia="標楷體" w:hAnsi="標楷體"/>
          <w:color w:val="000000" w:themeColor="text1"/>
          <w:sz w:val="20"/>
          <w:szCs w:val="20"/>
        </w:rPr>
        <w:t>14</w:t>
      </w: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9B7AE8">
        <w:rPr>
          <w:rFonts w:ascii="標楷體" w:eastAsia="標楷體" w:hAnsi="標楷體"/>
          <w:color w:val="000000" w:themeColor="text1"/>
          <w:sz w:val="20"/>
          <w:szCs w:val="20"/>
        </w:rPr>
        <w:t>2</w:t>
      </w: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9B7AE8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="009B7AE8">
        <w:rPr>
          <w:rFonts w:ascii="標楷體" w:eastAsia="標楷體" w:hAnsi="標楷體"/>
          <w:color w:val="000000" w:themeColor="text1"/>
          <w:sz w:val="20"/>
          <w:szCs w:val="20"/>
        </w:rPr>
        <w:t>7</w:t>
      </w: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日</w:t>
      </w:r>
      <w:r w:rsidR="009B7AE8">
        <w:rPr>
          <w:rFonts w:ascii="標楷體" w:eastAsia="標楷體" w:hAnsi="標楷體" w:hint="eastAsia"/>
          <w:color w:val="000000" w:themeColor="text1"/>
          <w:sz w:val="20"/>
          <w:szCs w:val="20"/>
        </w:rPr>
        <w:t>主管會報</w:t>
      </w:r>
      <w:r w:rsidRPr="0041661E">
        <w:rPr>
          <w:rFonts w:ascii="標楷體" w:eastAsia="標楷體" w:hAnsi="標楷體" w:hint="eastAsia"/>
          <w:color w:val="000000" w:themeColor="text1"/>
          <w:sz w:val="20"/>
          <w:szCs w:val="20"/>
        </w:rPr>
        <w:t>討論</w:t>
      </w:r>
      <w:r w:rsidR="009B7AE8">
        <w:rPr>
          <w:rFonts w:ascii="標楷體" w:eastAsia="標楷體" w:hAnsi="標楷體" w:hint="eastAsia"/>
          <w:color w:val="000000" w:themeColor="text1"/>
          <w:sz w:val="20"/>
          <w:szCs w:val="20"/>
        </w:rPr>
        <w:t>通過</w:t>
      </w:r>
    </w:p>
    <w:p w:rsidR="0041661E" w:rsidRPr="0041661E" w:rsidRDefault="0041661E" w:rsidP="00820735">
      <w:pPr>
        <w:pStyle w:val="Web"/>
        <w:spacing w:before="0" w:beforeAutospacing="0" w:after="0" w:afterAutospacing="0" w:line="0" w:lineRule="atLeast"/>
        <w:ind w:left="485" w:hangingChars="202" w:hanging="485"/>
        <w:jc w:val="both"/>
        <w:rPr>
          <w:rFonts w:ascii="標楷體" w:eastAsia="標楷體" w:hAnsi="標楷體"/>
          <w:color w:val="000000" w:themeColor="text1"/>
        </w:rPr>
      </w:pPr>
      <w:r w:rsidRPr="0041661E">
        <w:rPr>
          <w:rFonts w:ascii="標楷體" w:eastAsia="標楷體" w:hAnsi="標楷體" w:hint="eastAsia"/>
          <w:color w:val="000000" w:themeColor="text1"/>
        </w:rPr>
        <w:t>一、依據：</w:t>
      </w:r>
    </w:p>
    <w:p w:rsidR="0041661E" w:rsidRPr="00820735" w:rsidRDefault="0041661E" w:rsidP="00820735">
      <w:pPr>
        <w:ind w:left="567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</w:t>
      </w:r>
      <w:proofErr w:type="gramStart"/>
      <w:r w:rsidRPr="00820735">
        <w:rPr>
          <w:rFonts w:ascii="標楷體" w:eastAsia="標楷體" w:hAnsi="標楷體" w:hint="eastAsia"/>
        </w:rPr>
        <w:t>一</w:t>
      </w:r>
      <w:proofErr w:type="gramEnd"/>
      <w:r w:rsidRPr="00820735">
        <w:rPr>
          <w:rFonts w:ascii="標楷體" w:eastAsia="標楷體" w:hAnsi="標楷體" w:hint="eastAsia"/>
        </w:rPr>
        <w:t>)十二年國民基本教育課程綱要總綱。</w:t>
      </w:r>
      <w:bookmarkStart w:id="0" w:name="_GoBack"/>
      <w:bookmarkEnd w:id="0"/>
    </w:p>
    <w:p w:rsidR="0041661E" w:rsidRPr="0041661E" w:rsidRDefault="0041661E" w:rsidP="00820735">
      <w:pPr>
        <w:ind w:left="567"/>
        <w:rPr>
          <w:rFonts w:ascii="標楷體" w:eastAsia="標楷體" w:hAnsi="標楷體"/>
          <w:color w:val="000000" w:themeColor="text1"/>
        </w:rPr>
      </w:pPr>
      <w:r w:rsidRPr="00820735">
        <w:rPr>
          <w:rFonts w:ascii="標楷體" w:eastAsia="標楷體" w:hAnsi="標楷體"/>
        </w:rPr>
        <w:t>(</w:t>
      </w:r>
      <w:r w:rsidRPr="00820735">
        <w:rPr>
          <w:rFonts w:ascii="標楷體" w:eastAsia="標楷體" w:hAnsi="標楷體" w:hint="eastAsia"/>
        </w:rPr>
        <w:t>二)教育部「高級中等學校實施校長及教師公開授課參考原則」。</w:t>
      </w:r>
    </w:p>
    <w:p w:rsidR="0041661E" w:rsidRPr="0041661E" w:rsidRDefault="0041661E" w:rsidP="00820735">
      <w:pPr>
        <w:pStyle w:val="Web"/>
        <w:spacing w:before="0" w:beforeAutospacing="0" w:after="0" w:afterAutospacing="0" w:line="0" w:lineRule="atLeast"/>
        <w:ind w:left="485" w:hangingChars="202" w:hanging="485"/>
        <w:jc w:val="both"/>
        <w:rPr>
          <w:rFonts w:ascii="標楷體" w:eastAsia="標楷體" w:hAnsi="標楷體"/>
          <w:color w:val="000000" w:themeColor="text1"/>
        </w:rPr>
      </w:pPr>
      <w:r w:rsidRPr="0041661E">
        <w:rPr>
          <w:rFonts w:ascii="標楷體" w:eastAsia="標楷體" w:hAnsi="標楷體" w:hint="eastAsia"/>
          <w:color w:val="000000" w:themeColor="text1"/>
        </w:rPr>
        <w:t>二、適用公開授課之人員</w:t>
      </w:r>
    </w:p>
    <w:p w:rsidR="0041661E" w:rsidRPr="00820735" w:rsidRDefault="0041661E" w:rsidP="00820735">
      <w:pPr>
        <w:ind w:left="567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</w:t>
      </w:r>
      <w:proofErr w:type="gramStart"/>
      <w:r w:rsidRPr="00820735">
        <w:rPr>
          <w:rFonts w:ascii="標楷體" w:eastAsia="標楷體" w:hAnsi="標楷體" w:hint="eastAsia"/>
        </w:rPr>
        <w:t>一</w:t>
      </w:r>
      <w:proofErr w:type="gramEnd"/>
      <w:r w:rsidRPr="00820735">
        <w:rPr>
          <w:rFonts w:ascii="標楷體" w:eastAsia="標楷體" w:hAnsi="標楷體" w:hint="eastAsia"/>
        </w:rPr>
        <w:t>)校長及專任教師。</w:t>
      </w:r>
    </w:p>
    <w:p w:rsidR="0041661E" w:rsidRPr="00820735" w:rsidRDefault="0041661E" w:rsidP="00820735">
      <w:pPr>
        <w:ind w:left="567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(二)聘期半年以上之代理教師。</w:t>
      </w:r>
    </w:p>
    <w:p w:rsidR="00820735" w:rsidRPr="00820735" w:rsidRDefault="0041661E" w:rsidP="00820735">
      <w:pPr>
        <w:ind w:left="567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(三)有意願之兼任代課教師及不足半年之代理教師。</w:t>
      </w:r>
    </w:p>
    <w:p w:rsidR="0041661E" w:rsidRPr="0041661E" w:rsidRDefault="0041661E" w:rsidP="00820735">
      <w:pPr>
        <w:pStyle w:val="Web"/>
        <w:spacing w:before="0" w:beforeAutospacing="0" w:after="0" w:afterAutospacing="0" w:line="0" w:lineRule="atLeast"/>
        <w:ind w:left="485" w:hangingChars="202" w:hanging="485"/>
        <w:jc w:val="both"/>
        <w:rPr>
          <w:rFonts w:ascii="標楷體" w:eastAsia="標楷體" w:hAnsi="標楷體"/>
          <w:color w:val="000000" w:themeColor="text1"/>
        </w:rPr>
      </w:pPr>
      <w:r w:rsidRPr="0041661E">
        <w:rPr>
          <w:rFonts w:ascii="標楷體" w:eastAsia="標楷體" w:hAnsi="標楷體" w:hint="eastAsia"/>
          <w:color w:val="000000" w:themeColor="text1"/>
        </w:rPr>
        <w:t>三、實施方式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</w:t>
      </w:r>
      <w:proofErr w:type="gramStart"/>
      <w:r w:rsidRPr="00820735">
        <w:rPr>
          <w:rFonts w:ascii="標楷體" w:eastAsia="標楷體" w:hAnsi="標楷體" w:hint="eastAsia"/>
        </w:rPr>
        <w:t>一</w:t>
      </w:r>
      <w:proofErr w:type="gramEnd"/>
      <w:r w:rsidRPr="00820735">
        <w:rPr>
          <w:rFonts w:ascii="標楷體" w:eastAsia="標楷體" w:hAnsi="標楷體" w:hint="eastAsia"/>
        </w:rPr>
        <w:t>)本校科(領域)區分為職業類科共9科、服務群(門市服務科)、國文領域、英文領域、數學領域、社會領域、自然領域、輔導領域、藝能領域(含體育、</w:t>
      </w:r>
      <w:proofErr w:type="gramStart"/>
      <w:r w:rsidRPr="00820735">
        <w:rPr>
          <w:rFonts w:ascii="標楷體" w:eastAsia="標楷體" w:hAnsi="標楷體" w:hint="eastAsia"/>
        </w:rPr>
        <w:t>健護</w:t>
      </w:r>
      <w:proofErr w:type="gramEnd"/>
      <w:r w:rsidRPr="00820735">
        <w:rPr>
          <w:rFonts w:ascii="標楷體" w:eastAsia="標楷體" w:hAnsi="標楷體" w:hint="eastAsia"/>
        </w:rPr>
        <w:t>、藝術、國防)等。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 xml:space="preserve">(二)每科(領域)每學期適用人員總人數百分之五十以上人員，在學校公開授課1次，每次以1節為原則。 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(三)</w:t>
      </w:r>
      <w:proofErr w:type="gramStart"/>
      <w:r w:rsidRPr="00820735">
        <w:rPr>
          <w:rFonts w:ascii="標楷體" w:eastAsia="標楷體" w:hAnsi="標楷體" w:hint="eastAsia"/>
        </w:rPr>
        <w:t>依部頒實施</w:t>
      </w:r>
      <w:proofErr w:type="gramEnd"/>
      <w:r w:rsidRPr="00820735">
        <w:rPr>
          <w:rFonts w:ascii="標楷體" w:eastAsia="標楷體" w:hAnsi="標楷體" w:hint="eastAsia"/>
        </w:rPr>
        <w:t>原則，適用人員每學年至少在學校公開授課1次為原則。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(四)新任之專任教師到校當學期內應辦理公開授課至少1次。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(五)各科(領域)教學研究會於每學期開學後向教務處提交當學期公開授課教師名單(含配對1名教學觀察教師)、授課時間等相關資訊。教務處送校長核定後公告授課教師名單及時程等資訊。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(六)教師依公告時程辦理公開授課，應有教學觀察</w:t>
      </w:r>
      <w:proofErr w:type="gramStart"/>
      <w:r w:rsidRPr="00820735">
        <w:rPr>
          <w:rFonts w:ascii="標楷體" w:eastAsia="標楷體" w:hAnsi="標楷體" w:hint="eastAsia"/>
        </w:rPr>
        <w:t>教師在場</w:t>
      </w:r>
      <w:proofErr w:type="gramEnd"/>
      <w:r w:rsidRPr="00820735">
        <w:rPr>
          <w:rFonts w:ascii="標楷體" w:eastAsia="標楷體" w:hAnsi="標楷體" w:hint="eastAsia"/>
        </w:rPr>
        <w:t>，另外其他教師以及專家學者</w:t>
      </w:r>
      <w:proofErr w:type="gramStart"/>
      <w:r w:rsidRPr="00820735">
        <w:rPr>
          <w:rFonts w:ascii="標楷體" w:eastAsia="標楷體" w:hAnsi="標楷體" w:hint="eastAsia"/>
        </w:rPr>
        <w:t>均得進入觀課</w:t>
      </w:r>
      <w:proofErr w:type="gramEnd"/>
      <w:r w:rsidRPr="00820735">
        <w:rPr>
          <w:rFonts w:ascii="標楷體" w:eastAsia="標楷體" w:hAnsi="標楷體" w:hint="eastAsia"/>
        </w:rPr>
        <w:t>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(七)公開授課結束後</w:t>
      </w:r>
      <w:r w:rsidRPr="00820735">
        <w:rPr>
          <w:rFonts w:ascii="標楷體" w:eastAsia="標楷體" w:hAnsi="標楷體"/>
        </w:rPr>
        <w:t>2</w:t>
      </w:r>
      <w:proofErr w:type="gramStart"/>
      <w:r w:rsidRPr="00820735">
        <w:rPr>
          <w:rFonts w:ascii="標楷體" w:eastAsia="標楷體" w:hAnsi="標楷體" w:hint="eastAsia"/>
        </w:rPr>
        <w:t>週</w:t>
      </w:r>
      <w:proofErr w:type="gramEnd"/>
      <w:r w:rsidRPr="00820735">
        <w:rPr>
          <w:rFonts w:ascii="標楷體" w:eastAsia="標楷體" w:hAnsi="標楷體" w:hint="eastAsia"/>
        </w:rPr>
        <w:t>內，授課教師及教學觀察教師填寫並繳回教學觀察表件等相關資料。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(八)校長試行公開授課，得</w:t>
      </w:r>
      <w:proofErr w:type="gramStart"/>
      <w:r w:rsidRPr="00820735">
        <w:rPr>
          <w:rFonts w:ascii="標楷體" w:eastAsia="標楷體" w:hAnsi="標楷體" w:hint="eastAsia"/>
        </w:rPr>
        <w:t>採</w:t>
      </w:r>
      <w:proofErr w:type="gramEnd"/>
      <w:r w:rsidRPr="00820735">
        <w:rPr>
          <w:rFonts w:ascii="標楷體" w:eastAsia="標楷體" w:hAnsi="標楷體" w:hint="eastAsia"/>
        </w:rPr>
        <w:t>行動(數位)學習、各項(藝文或體驗)導</w:t>
      </w:r>
      <w:proofErr w:type="gramStart"/>
      <w:r w:rsidRPr="00820735">
        <w:rPr>
          <w:rFonts w:ascii="標楷體" w:eastAsia="標楷體" w:hAnsi="標楷體" w:hint="eastAsia"/>
        </w:rPr>
        <w:t>覽</w:t>
      </w:r>
      <w:proofErr w:type="gramEnd"/>
      <w:r w:rsidRPr="00820735">
        <w:rPr>
          <w:rFonts w:ascii="標楷體" w:eastAsia="標楷體" w:hAnsi="標楷體" w:hint="eastAsia"/>
        </w:rPr>
        <w:t>、學生課程成果發表指導、專題研究(實驗、實作)指導或專題講座等多元形式實施。</w:t>
      </w:r>
    </w:p>
    <w:p w:rsidR="0041661E" w:rsidRPr="00820735" w:rsidRDefault="0041661E" w:rsidP="00820735">
      <w:pPr>
        <w:ind w:left="1049" w:hanging="482"/>
        <w:rPr>
          <w:rFonts w:ascii="標楷體" w:eastAsia="標楷體" w:hAnsi="標楷體"/>
        </w:rPr>
      </w:pPr>
      <w:r w:rsidRPr="00820735">
        <w:rPr>
          <w:rFonts w:ascii="標楷體" w:eastAsia="標楷體" w:hAnsi="標楷體" w:hint="eastAsia"/>
        </w:rPr>
        <w:t>(九)其他悉依教育部、新北市教育局之實施原則及相關規定辦理。</w:t>
      </w:r>
    </w:p>
    <w:p w:rsidR="0041661E" w:rsidRPr="0041661E" w:rsidRDefault="0041661E" w:rsidP="00820735">
      <w:pPr>
        <w:pStyle w:val="Web"/>
        <w:spacing w:beforeLines="100" w:before="360" w:beforeAutospacing="0" w:afterLines="100" w:after="360" w:afterAutospacing="0" w:line="0" w:lineRule="atLeast"/>
        <w:ind w:left="485" w:hangingChars="202" w:hanging="485"/>
        <w:contextualSpacing/>
        <w:jc w:val="both"/>
        <w:rPr>
          <w:rFonts w:ascii="標楷體" w:eastAsia="標楷體" w:hAnsi="標楷體"/>
          <w:color w:val="000000" w:themeColor="text1"/>
        </w:rPr>
      </w:pPr>
      <w:r w:rsidRPr="0041661E">
        <w:rPr>
          <w:rFonts w:ascii="標楷體" w:eastAsia="標楷體" w:hAnsi="標楷體" w:hint="eastAsia"/>
          <w:color w:val="000000" w:themeColor="text1"/>
        </w:rPr>
        <w:t>四、本規定經行政會議討論通過後送校長核示後公告實施，修正時亦同。</w:t>
      </w:r>
    </w:p>
    <w:p w:rsidR="0041661E" w:rsidRPr="0041661E" w:rsidRDefault="003A5BB0" w:rsidP="0041661E">
      <w:pPr>
        <w:widowControl/>
        <w:jc w:val="center"/>
        <w:rPr>
          <w:rFonts w:eastAsia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eastAsia="標楷體" w:cs="新細明體"/>
          <w:b/>
          <w:color w:val="000000" w:themeColor="text1"/>
          <w:kern w:val="0"/>
          <w:sz w:val="28"/>
          <w:szCs w:val="28"/>
        </w:rPr>
        <w:t xml:space="preserve"> </w:t>
      </w:r>
      <w:r w:rsidRPr="003A5BB0">
        <w:rPr>
          <w:rFonts w:eastAsia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   </w:t>
      </w:r>
      <w:r>
        <w:rPr>
          <w:rFonts w:eastAsia="標楷體" w:cs="新細明體"/>
          <w:b/>
          <w:color w:val="000000" w:themeColor="text1"/>
          <w:kern w:val="0"/>
          <w:sz w:val="28"/>
          <w:szCs w:val="28"/>
        </w:rPr>
        <w:t xml:space="preserve"> </w:t>
      </w:r>
      <w:proofErr w:type="gramStart"/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</w:rPr>
        <w:t>學年度第</w:t>
      </w:r>
      <w:proofErr w:type="gramEnd"/>
      <w:r>
        <w:rPr>
          <w:rFonts w:eastAsia="標楷體" w:cs="新細明體"/>
          <w:b/>
          <w:color w:val="000000" w:themeColor="text1"/>
          <w:kern w:val="0"/>
          <w:sz w:val="28"/>
          <w:szCs w:val="28"/>
        </w:rPr>
        <w:t xml:space="preserve"> </w:t>
      </w:r>
      <w:r w:rsidRPr="003A5BB0">
        <w:rPr>
          <w:rFonts w:eastAsia="標楷體" w:cs="新細明體"/>
          <w:b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eastAsia="標楷體" w:cs="新細明體"/>
          <w:b/>
          <w:color w:val="000000" w:themeColor="text1"/>
          <w:kern w:val="0"/>
          <w:sz w:val="28"/>
          <w:szCs w:val="28"/>
        </w:rPr>
        <w:t xml:space="preserve"> </w:t>
      </w:r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</w:rPr>
        <w:t>學期</w:t>
      </w:r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3A5BB0">
        <w:rPr>
          <w:rFonts w:eastAsia="標楷體" w:cs="新細明體" w:hint="eastAsia"/>
          <w:b/>
          <w:color w:val="000000" w:themeColor="text1"/>
          <w:kern w:val="0"/>
          <w:sz w:val="28"/>
          <w:szCs w:val="28"/>
        </w:rPr>
        <w:t>科公開授課調查表</w:t>
      </w:r>
    </w:p>
    <w:p w:rsidR="0041661E" w:rsidRPr="0041661E" w:rsidRDefault="0041661E" w:rsidP="0041661E">
      <w:pPr>
        <w:widowControl/>
        <w:rPr>
          <w:rFonts w:eastAsia="標楷體" w:cs="新細明體"/>
          <w:color w:val="000000" w:themeColor="text1"/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2330"/>
        <w:gridCol w:w="1606"/>
        <w:gridCol w:w="1606"/>
        <w:gridCol w:w="1606"/>
        <w:gridCol w:w="1106"/>
        <w:gridCol w:w="1107"/>
        <w:gridCol w:w="680"/>
      </w:tblGrid>
      <w:tr w:rsidR="00820735" w:rsidRPr="003A4311" w:rsidTr="00820735">
        <w:tc>
          <w:tcPr>
            <w:tcW w:w="417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項</w:t>
            </w:r>
            <w:r>
              <w:rPr>
                <w:rFonts w:eastAsia="微軟正黑體"/>
                <w:sz w:val="20"/>
                <w:szCs w:val="20"/>
              </w:rPr>
              <w:br/>
            </w:r>
            <w:r w:rsidRPr="003A4311">
              <w:rPr>
                <w:rFonts w:eastAsia="微軟正黑體" w:hint="eastAsia"/>
                <w:sz w:val="20"/>
                <w:szCs w:val="20"/>
              </w:rPr>
              <w:t>次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公開授課時間</w:t>
            </w:r>
          </w:p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(</w:t>
            </w:r>
            <w:r w:rsidRPr="003A4311">
              <w:rPr>
                <w:rFonts w:eastAsia="微軟正黑體" w:hint="eastAsia"/>
                <w:sz w:val="20"/>
                <w:szCs w:val="20"/>
              </w:rPr>
              <w:t>年</w:t>
            </w:r>
            <w:r w:rsidRPr="003A4311">
              <w:rPr>
                <w:rFonts w:eastAsia="微軟正黑體" w:hint="eastAsia"/>
                <w:sz w:val="20"/>
                <w:szCs w:val="20"/>
              </w:rPr>
              <w:t>/</w:t>
            </w:r>
            <w:r w:rsidRPr="003A4311">
              <w:rPr>
                <w:rFonts w:eastAsia="微軟正黑體" w:hint="eastAsia"/>
                <w:sz w:val="20"/>
                <w:szCs w:val="20"/>
              </w:rPr>
              <w:t>月</w:t>
            </w:r>
            <w:r w:rsidRPr="003A4311">
              <w:rPr>
                <w:rFonts w:eastAsia="微軟正黑體" w:hint="eastAsia"/>
                <w:sz w:val="20"/>
                <w:szCs w:val="20"/>
              </w:rPr>
              <w:t>/</w:t>
            </w:r>
            <w:r w:rsidRPr="003A4311">
              <w:rPr>
                <w:rFonts w:eastAsia="微軟正黑體" w:hint="eastAsia"/>
                <w:sz w:val="20"/>
                <w:szCs w:val="20"/>
              </w:rPr>
              <w:t>日</w:t>
            </w:r>
            <w:r w:rsidRPr="003A4311">
              <w:rPr>
                <w:rFonts w:eastAsia="微軟正黑體" w:hint="eastAsia"/>
                <w:sz w:val="20"/>
                <w:szCs w:val="20"/>
              </w:rPr>
              <w:t>/</w:t>
            </w:r>
            <w:r w:rsidRPr="003A4311">
              <w:rPr>
                <w:rFonts w:eastAsia="微軟正黑體" w:hint="eastAsia"/>
                <w:sz w:val="20"/>
                <w:szCs w:val="20"/>
              </w:rPr>
              <w:t>星期</w:t>
            </w:r>
            <w:r w:rsidRPr="003A4311">
              <w:rPr>
                <w:rFonts w:eastAsia="微軟正黑體" w:hint="eastAsia"/>
                <w:sz w:val="20"/>
                <w:szCs w:val="20"/>
              </w:rPr>
              <w:t>/</w:t>
            </w:r>
            <w:r w:rsidRPr="003A4311">
              <w:rPr>
                <w:rFonts w:eastAsia="微軟正黑體" w:hint="eastAsia"/>
                <w:sz w:val="20"/>
                <w:szCs w:val="20"/>
              </w:rPr>
              <w:t>上課節次</w:t>
            </w:r>
            <w:r w:rsidRPr="003A4311">
              <w:rPr>
                <w:rFonts w:eastAsia="微軟正黑體" w:hint="eastAsia"/>
                <w:sz w:val="20"/>
                <w:szCs w:val="20"/>
              </w:rPr>
              <w:t>)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授課</w:t>
            </w:r>
          </w:p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教師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proofErr w:type="gramStart"/>
            <w:r w:rsidRPr="003A4311">
              <w:rPr>
                <w:rFonts w:eastAsia="微軟正黑體" w:hint="eastAsia"/>
                <w:sz w:val="20"/>
                <w:szCs w:val="20"/>
              </w:rPr>
              <w:t>觀課</w:t>
            </w:r>
            <w:proofErr w:type="gramEnd"/>
            <w:r w:rsidRPr="003A4311">
              <w:rPr>
                <w:rFonts w:eastAsia="微軟正黑體"/>
                <w:sz w:val="20"/>
                <w:szCs w:val="20"/>
              </w:rPr>
              <w:br/>
            </w:r>
            <w:r w:rsidRPr="003A4311">
              <w:rPr>
                <w:rFonts w:eastAsia="微軟正黑體" w:hint="eastAsia"/>
                <w:sz w:val="20"/>
                <w:szCs w:val="20"/>
              </w:rPr>
              <w:t>教師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授課</w:t>
            </w:r>
          </w:p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班級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授課</w:t>
            </w:r>
          </w:p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地點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 w:rsidRPr="003A4311">
              <w:rPr>
                <w:rFonts w:eastAsia="微軟正黑體" w:hint="eastAsia"/>
                <w:sz w:val="20"/>
                <w:szCs w:val="20"/>
              </w:rPr>
              <w:t>科目</w:t>
            </w:r>
          </w:p>
        </w:tc>
        <w:tc>
          <w:tcPr>
            <w:tcW w:w="680" w:type="dxa"/>
            <w:vAlign w:val="center"/>
          </w:tcPr>
          <w:p w:rsidR="003A4311" w:rsidRPr="003A4311" w:rsidRDefault="003A4311" w:rsidP="003A4311">
            <w:pPr>
              <w:snapToGrid w:val="0"/>
              <w:jc w:val="center"/>
              <w:rPr>
                <w:rFonts w:eastAsia="微軟正黑體"/>
                <w:sz w:val="20"/>
                <w:szCs w:val="20"/>
              </w:rPr>
            </w:pPr>
            <w:r>
              <w:rPr>
                <w:rFonts w:eastAsia="微軟正黑體" w:hint="eastAsia"/>
                <w:sz w:val="20"/>
                <w:szCs w:val="20"/>
              </w:rPr>
              <w:t>備註</w:t>
            </w:r>
          </w:p>
        </w:tc>
      </w:tr>
      <w:tr w:rsidR="00820735" w:rsidRPr="003A4311" w:rsidTr="00820735">
        <w:tc>
          <w:tcPr>
            <w:tcW w:w="417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  <w:r w:rsidRPr="003A4311">
              <w:rPr>
                <w:rFonts w:hint="eastAsia"/>
              </w:rPr>
              <w:t>1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106" w:type="dxa"/>
            <w:shd w:val="clear" w:color="auto" w:fill="auto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680" w:type="dxa"/>
          </w:tcPr>
          <w:p w:rsidR="003A4311" w:rsidRPr="003A4311" w:rsidRDefault="003A4311" w:rsidP="003A4311">
            <w:pPr>
              <w:jc w:val="center"/>
            </w:pPr>
          </w:p>
        </w:tc>
      </w:tr>
      <w:tr w:rsidR="00820735" w:rsidRPr="003A4311" w:rsidTr="00820735">
        <w:tc>
          <w:tcPr>
            <w:tcW w:w="417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  <w:r w:rsidRPr="003A4311">
              <w:t>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</w:tcPr>
          <w:p w:rsidR="003A4311" w:rsidRPr="003A4311" w:rsidRDefault="003A4311" w:rsidP="003A4311">
            <w:pPr>
              <w:jc w:val="center"/>
              <w:rPr>
                <w:highlight w:val="yellow"/>
              </w:rPr>
            </w:pPr>
          </w:p>
        </w:tc>
      </w:tr>
      <w:tr w:rsidR="003C7D20" w:rsidRPr="003A4311" w:rsidTr="00820735">
        <w:tc>
          <w:tcPr>
            <w:tcW w:w="417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</w:tcPr>
          <w:p w:rsidR="003C7D20" w:rsidRPr="003A4311" w:rsidRDefault="003C7D20" w:rsidP="003A4311">
            <w:pPr>
              <w:jc w:val="center"/>
              <w:rPr>
                <w:highlight w:val="yellow"/>
              </w:rPr>
            </w:pPr>
          </w:p>
        </w:tc>
      </w:tr>
    </w:tbl>
    <w:p w:rsidR="0041661E" w:rsidRPr="0041661E" w:rsidRDefault="0041661E" w:rsidP="0041661E">
      <w:pPr>
        <w:widowControl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/>
          <w:color w:val="000000" w:themeColor="text1"/>
          <w:kern w:val="0"/>
        </w:rPr>
        <w:br w:type="page"/>
      </w:r>
    </w:p>
    <w:p w:rsidR="0041661E" w:rsidRPr="0041661E" w:rsidRDefault="0041661E" w:rsidP="0041661E">
      <w:pPr>
        <w:widowControl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lastRenderedPageBreak/>
        <w:t>附件二</w:t>
      </w:r>
    </w:p>
    <w:p w:rsidR="0041661E" w:rsidRPr="0041661E" w:rsidRDefault="0041661E" w:rsidP="0041661E">
      <w:pPr>
        <w:widowControl/>
        <w:snapToGrid w:val="0"/>
        <w:spacing w:line="276" w:lineRule="auto"/>
        <w:jc w:val="center"/>
        <w:rPr>
          <w:rFonts w:eastAsia="標楷體" w:cs="新細明體"/>
          <w:color w:val="000000" w:themeColor="text1"/>
          <w:kern w:val="0"/>
          <w:sz w:val="28"/>
          <w:szCs w:val="36"/>
        </w:rPr>
      </w:pPr>
      <w:r w:rsidRPr="0041661E">
        <w:rPr>
          <w:rFonts w:eastAsia="標楷體" w:cs="新細明體" w:hint="eastAsia"/>
          <w:b/>
          <w:bCs/>
          <w:color w:val="000000" w:themeColor="text1"/>
          <w:kern w:val="0"/>
          <w:sz w:val="28"/>
          <w:szCs w:val="36"/>
        </w:rPr>
        <w:t>高級中等學校實施校長及教師公開授課參考原則</w:t>
      </w:r>
    </w:p>
    <w:p w:rsidR="0041661E" w:rsidRPr="0041661E" w:rsidRDefault="0041661E" w:rsidP="0041661E">
      <w:pPr>
        <w:pStyle w:val="a3"/>
        <w:widowControl/>
        <w:snapToGrid w:val="0"/>
        <w:spacing w:line="276" w:lineRule="auto"/>
        <w:ind w:leftChars="0" w:left="0"/>
        <w:jc w:val="both"/>
        <w:textAlignment w:val="baseline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一、教育部國民及學前教育署（以下簡稱本署）為落實十二年國民基本教育課程綱要總綱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柒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、五、（一）之</w:t>
      </w:r>
      <w:r w:rsidRPr="0041661E">
        <w:rPr>
          <w:rFonts w:eastAsia="標楷體" w:cs="新細明體" w:hint="eastAsia"/>
          <w:color w:val="000000" w:themeColor="text1"/>
          <w:kern w:val="0"/>
        </w:rPr>
        <w:t xml:space="preserve"> 3 </w:t>
      </w:r>
      <w:r w:rsidRPr="0041661E">
        <w:rPr>
          <w:rFonts w:eastAsia="標楷體" w:cs="新細明體" w:hint="eastAsia"/>
          <w:color w:val="000000" w:themeColor="text1"/>
          <w:kern w:val="0"/>
        </w:rPr>
        <w:t>所定，持續提升教學品質及學生學習成效，形塑同儕共學之教學文化，實施校長及教師公開授課，並進行專業回饋，特訂定本原則。</w:t>
      </w: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二、本原則適用於教育部主管之高級中等學校（以下簡稱學校）。</w:t>
      </w: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三、依本原則規定應進行公開授課之人員（以下簡稱授課人員）如下：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（一）依教育人員任用條例任用之現任校長、聘任之現職專任教師及專業及技術教師。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（二）依中小學兼任代課及代理教師聘任辦法聘任，聘期為三個月以上之代課、代理教師。</w:t>
      </w: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四、下列人員有意願公開授課者，視同授課人員：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（一）依中小學兼任代課及代理教師聘任辦法聘任之兼任教師。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（二）依中小學兼任代課及代理教師聘任辦法聘任，聘期未達三個月之代課、代理教師。</w:t>
      </w: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五、公開授課之實施方式如下：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（一）每學年至少公開授課一次，每次以一節為原則，並得視課程需要增加節數。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（二）公開授課，得結合學校之定期教學觀摩、教師專業研習、課程與教學創新、教育實驗及相關計畫辦理。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（三）公開授課內容，應包括課前說明、教學觀察及專業回饋；必要時，得增加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共同備課及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專業成長計畫。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（四）公開授課時，應至少由一位校內教師擔任教學觀察者；並得視需要邀請校外專家學者，觀察其課程設計與教學、班級經營與輔導，進行專業回饋。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（五）授課人員、教學觀察者，應檢具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共同備課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、教學觀察、專業回饋或專業成長計畫或其他相關紀錄、證明，由學校依實際參與時數，核實發給研習時數證明。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（六）公開授課內容，應由學校教學研究會或教師專業社群討論決定，經教務處彙整，並陳校長核定後實施；其資訊應於每學期開學一個月內公告於學校網站。</w:t>
      </w:r>
    </w:p>
    <w:p w:rsidR="0041661E" w:rsidRPr="0041661E" w:rsidRDefault="0041661E" w:rsidP="0041661E">
      <w:pPr>
        <w:ind w:left="766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（七）授課人員經學校同意於非原授課班級進行公開授課，原授課教師須參與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共同備課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，並於該堂課與授課人員進行協同教學。</w:t>
      </w:r>
    </w:p>
    <w:p w:rsidR="0041661E" w:rsidRPr="0041661E" w:rsidRDefault="0041661E" w:rsidP="0041661E">
      <w:pPr>
        <w:ind w:left="482" w:hanging="482"/>
        <w:rPr>
          <w:rFonts w:eastAsia="標楷體" w:cs="新細明體"/>
          <w:color w:val="000000" w:themeColor="text1"/>
          <w:kern w:val="0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六、辦理公開授課所需經費，由學校經費支應；必要時，得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向本署申請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補助。</w:t>
      </w:r>
    </w:p>
    <w:p w:rsidR="0041661E" w:rsidRPr="0041661E" w:rsidRDefault="0041661E" w:rsidP="0041661E">
      <w:pPr>
        <w:ind w:left="482" w:hanging="482"/>
        <w:rPr>
          <w:color w:val="000000" w:themeColor="text1"/>
          <w:lang w:eastAsia="x-none"/>
        </w:rPr>
      </w:pPr>
      <w:r w:rsidRPr="0041661E">
        <w:rPr>
          <w:rFonts w:eastAsia="標楷體" w:cs="新細明體" w:hint="eastAsia"/>
          <w:color w:val="000000" w:themeColor="text1"/>
          <w:kern w:val="0"/>
        </w:rPr>
        <w:t>七、學校得參</w:t>
      </w:r>
      <w:proofErr w:type="gramStart"/>
      <w:r w:rsidRPr="0041661E">
        <w:rPr>
          <w:rFonts w:eastAsia="標楷體" w:cs="新細明體" w:hint="eastAsia"/>
          <w:color w:val="000000" w:themeColor="text1"/>
          <w:kern w:val="0"/>
        </w:rPr>
        <w:t>採</w:t>
      </w:r>
      <w:proofErr w:type="gramEnd"/>
      <w:r w:rsidRPr="0041661E">
        <w:rPr>
          <w:rFonts w:eastAsia="標楷體" w:cs="新細明體" w:hint="eastAsia"/>
          <w:color w:val="000000" w:themeColor="text1"/>
          <w:kern w:val="0"/>
        </w:rPr>
        <w:t>本原則規定，衡酌學校特色、資源及校園文化，建立適合學校運作之公開授課方式</w:t>
      </w:r>
    </w:p>
    <w:p w:rsidR="00801B1F" w:rsidRPr="0041661E" w:rsidRDefault="00801B1F">
      <w:pPr>
        <w:rPr>
          <w:color w:val="000000" w:themeColor="text1"/>
        </w:rPr>
      </w:pPr>
    </w:p>
    <w:sectPr w:rsidR="00801B1F" w:rsidRPr="0041661E" w:rsidSect="00820735">
      <w:pgSz w:w="11906" w:h="16838" w:code="9"/>
      <w:pgMar w:top="567" w:right="567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1E"/>
    <w:rsid w:val="003A4311"/>
    <w:rsid w:val="003A5BB0"/>
    <w:rsid w:val="003C7D20"/>
    <w:rsid w:val="0041661E"/>
    <w:rsid w:val="004B55CF"/>
    <w:rsid w:val="0052475D"/>
    <w:rsid w:val="00801B1F"/>
    <w:rsid w:val="00820735"/>
    <w:rsid w:val="009B7AE8"/>
    <w:rsid w:val="00A85951"/>
    <w:rsid w:val="00D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1E60"/>
  <w15:chartTrackingRefBased/>
  <w15:docId w15:val="{F42F1E95-88F3-42AE-844E-7AFC072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1661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3">
    <w:name w:val="List Paragraph"/>
    <w:basedOn w:val="a"/>
    <w:link w:val="a4"/>
    <w:uiPriority w:val="34"/>
    <w:qFormat/>
    <w:rsid w:val="0041661E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41661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2025-01-16T08:18:00Z</dcterms:created>
  <dcterms:modified xsi:type="dcterms:W3CDTF">2025-02-18T09:11:00Z</dcterms:modified>
</cp:coreProperties>
</file>